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02" w:rsidRPr="00200EEA" w:rsidRDefault="004B7102" w:rsidP="004B7102">
      <w:r w:rsidRPr="00200EEA">
        <w:t>Győri Orsolya: Szavak árján – Szitakötő 70. p.8-9.</w:t>
      </w:r>
    </w:p>
    <w:p w:rsidR="004B7102" w:rsidRPr="00200EEA" w:rsidRDefault="004B7102" w:rsidP="004B7102">
      <w:r w:rsidRPr="00200EEA">
        <w:t>Készítette: Bodzásné Bozó Mariann</w:t>
      </w:r>
      <w:bookmarkStart w:id="0" w:name="_GoBack"/>
      <w:bookmarkEnd w:id="0"/>
    </w:p>
    <w:p w:rsidR="004B7102" w:rsidRDefault="004B7102" w:rsidP="004B7102">
      <w:pPr>
        <w:rPr>
          <w:rFonts w:ascii="Bookman Old Style" w:hAnsi="Bookman Old Style" w:cs="Courier New"/>
          <w:b/>
          <w:smallCaps/>
          <w:sz w:val="22"/>
        </w:rPr>
      </w:pPr>
    </w:p>
    <w:p w:rsidR="004B7102" w:rsidRPr="00200EEA" w:rsidRDefault="004B7102" w:rsidP="004B7102">
      <w:pPr>
        <w:rPr>
          <w:rFonts w:ascii="Bookman Old Style" w:hAnsi="Bookman Old Style" w:cs="Courier New"/>
          <w:b/>
          <w:smallCaps/>
          <w:sz w:val="22"/>
        </w:rPr>
      </w:pPr>
      <w:r w:rsidRPr="00200EEA">
        <w:rPr>
          <w:rFonts w:ascii="Bookman Old Style" w:hAnsi="Bookman Old Style" w:cs="Courier New"/>
          <w:b/>
          <w:smallCaps/>
          <w:sz w:val="22"/>
        </w:rPr>
        <w:t>A szövegből keress példát a következő szófajokra! Megadom, mennyi példát kell keresned, és mire kell figyelned!</w:t>
      </w:r>
    </w:p>
    <w:p w:rsidR="004B7102" w:rsidRDefault="004B7102" w:rsidP="004B7102">
      <w:pPr>
        <w:rPr>
          <w:rFonts w:ascii="Courier New" w:hAnsi="Courier New" w:cs="Courier New"/>
          <w:b/>
          <w:small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719"/>
        <w:gridCol w:w="1596"/>
        <w:gridCol w:w="1999"/>
        <w:gridCol w:w="1928"/>
        <w:gridCol w:w="1482"/>
      </w:tblGrid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szófaj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példák</w:t>
            </w:r>
          </w:p>
        </w:tc>
      </w:tr>
      <w:tr w:rsidR="004B7102" w:rsidRPr="00C21F0F" w:rsidTr="00CB1D8E">
        <w:tc>
          <w:tcPr>
            <w:tcW w:w="1735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igekötő nélkül ige – különböző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igekötős ige -különböző igekötővel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5 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igenév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– minden fajta-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5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főnév -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köznév 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főnév –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tulajdonnév 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– legalább 3 különböző fajta -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melléknév – különböző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4B7102">
        <w:tc>
          <w:tcPr>
            <w:tcW w:w="1735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számnév – 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3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D9D9D9" w:themeFill="background1" w:themeFillShade="D9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névmás – 5db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határozószó – 3db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névutó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 szókapcsolat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– 3db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névelős szókapcsolat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– 3db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kötőszók</w:t>
            </w:r>
            <w:proofErr w:type="spellEnd"/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– 3db</w:t>
            </w: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CB1D8E">
        <w:tc>
          <w:tcPr>
            <w:tcW w:w="1735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 db - az előzőektől eltérő szófaj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</w:tbl>
    <w:p w:rsidR="004B7102" w:rsidRDefault="004B7102" w:rsidP="004B7102">
      <w:pPr>
        <w:spacing w:after="160" w:line="259" w:lineRule="auto"/>
      </w:pPr>
    </w:p>
    <w:p w:rsidR="004B7102" w:rsidRDefault="004B7102" w:rsidP="004B7102">
      <w:pPr>
        <w:spacing w:after="160" w:line="259" w:lineRule="auto"/>
      </w:pPr>
    </w:p>
    <w:p w:rsidR="004B7102" w:rsidRDefault="004B7102" w:rsidP="004B7102">
      <w:pPr>
        <w:spacing w:after="160" w:line="259" w:lineRule="auto"/>
      </w:pPr>
    </w:p>
    <w:p w:rsidR="004B7102" w:rsidRDefault="004B7102" w:rsidP="004B7102">
      <w:pPr>
        <w:spacing w:after="160" w:line="259" w:lineRule="auto"/>
      </w:pPr>
    </w:p>
    <w:p w:rsidR="004B7102" w:rsidRDefault="004B7102" w:rsidP="004B7102">
      <w:pPr>
        <w:spacing w:after="160" w:line="259" w:lineRule="auto"/>
      </w:pPr>
    </w:p>
    <w:p w:rsidR="004B7102" w:rsidRPr="004B7102" w:rsidRDefault="004B7102" w:rsidP="004B7102">
      <w:pPr>
        <w:spacing w:after="160" w:line="259" w:lineRule="auto"/>
      </w:pPr>
      <w:r>
        <w:rPr>
          <w:rFonts w:ascii="Bookman Old Style" w:hAnsi="Bookman Old Style" w:cs="Courier New"/>
          <w:b/>
          <w:smallCaps/>
          <w:sz w:val="22"/>
        </w:rPr>
        <w:t>Lehetséges megoldás:</w:t>
      </w:r>
    </w:p>
    <w:p w:rsidR="004B7102" w:rsidRDefault="004B7102" w:rsidP="004B7102">
      <w:pPr>
        <w:rPr>
          <w:rFonts w:ascii="Courier New" w:hAnsi="Courier New" w:cs="Courier New"/>
          <w:b/>
          <w:smallCaps/>
          <w:sz w:val="28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23"/>
        <w:gridCol w:w="1616"/>
        <w:gridCol w:w="2122"/>
        <w:gridCol w:w="2047"/>
        <w:gridCol w:w="1422"/>
      </w:tblGrid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szófaj</w:t>
            </w:r>
          </w:p>
        </w:tc>
        <w:tc>
          <w:tcPr>
            <w:tcW w:w="9030" w:type="dxa"/>
            <w:gridSpan w:val="5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példák</w:t>
            </w:r>
          </w:p>
        </w:tc>
      </w:tr>
      <w:tr w:rsidR="004B7102" w:rsidRPr="00C21F0F" w:rsidTr="004B7102">
        <w:tc>
          <w:tcPr>
            <w:tcW w:w="1686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igekötő nélkül ige – különböző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él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írta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tartottak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árad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szárad</w:t>
            </w:r>
          </w:p>
        </w:tc>
      </w:tr>
      <w:tr w:rsidR="004B7102" w:rsidRPr="00C21F0F" w:rsidTr="004B7102">
        <w:tc>
          <w:tcPr>
            <w:tcW w:w="1686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rímelnek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használták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találunk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söpör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jelentenek</w:t>
            </w: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igekötős ige -különböző igekötővel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5 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megtudhatjuk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árad el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felismertek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rátapintottak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előfordul</w:t>
            </w: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igenév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– minden fajta-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5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nyomozva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feltárható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utánajárni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érzékelt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elmulandó</w:t>
            </w:r>
          </w:p>
        </w:tc>
      </w:tr>
      <w:tr w:rsidR="004B7102" w:rsidRPr="00C21F0F" w:rsidTr="004B7102">
        <w:tc>
          <w:tcPr>
            <w:tcW w:w="1686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főnév -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köznév 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nemzet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nyelvében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útja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lexikonjainkban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eleink</w:t>
            </w:r>
          </w:p>
        </w:tc>
      </w:tr>
      <w:tr w:rsidR="004B7102" w:rsidRPr="00C21F0F" w:rsidTr="004B7102">
        <w:tc>
          <w:tcPr>
            <w:tcW w:w="1686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áradástól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szárazságtól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szó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hasonlósága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költők</w:t>
            </w:r>
          </w:p>
        </w:tc>
      </w:tr>
      <w:tr w:rsidR="004B7102" w:rsidRPr="00C21F0F" w:rsidTr="004B7102">
        <w:tc>
          <w:tcPr>
            <w:tcW w:w="1686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főnév –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tulajdonnév 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– legalább 3 különböző fajta -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Széchenyi István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Szavak árján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Győri Orsolya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Nagykunsági krónika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Pest</w:t>
            </w:r>
          </w:p>
        </w:tc>
      </w:tr>
      <w:tr w:rsidR="004B7102" w:rsidRPr="00C21F0F" w:rsidTr="004B7102">
        <w:tc>
          <w:tcPr>
            <w:tcW w:w="1686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Buda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Szeged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Tavaszi szél vizet áraszt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Pócs Éva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József Attila</w:t>
            </w:r>
          </w:p>
        </w:tc>
      </w:tr>
      <w:tr w:rsidR="004B7102" w:rsidRPr="00C21F0F" w:rsidTr="004B7102">
        <w:tc>
          <w:tcPr>
            <w:tcW w:w="1686" w:type="dxa"/>
            <w:vMerge w:val="restart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melléknév – különböző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10 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izgalmas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hangzásbeli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remekül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nagy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régi</w:t>
            </w:r>
          </w:p>
        </w:tc>
      </w:tr>
      <w:tr w:rsidR="004B7102" w:rsidRPr="00C21F0F" w:rsidTr="004B7102">
        <w:tc>
          <w:tcPr>
            <w:tcW w:w="1686" w:type="dxa"/>
            <w:vMerge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szennyes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rossz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csuvas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hangzású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lágy</w:t>
            </w: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Default="004B7102" w:rsidP="004B7102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számnév – </w:t>
            </w:r>
          </w:p>
          <w:p w:rsidR="004B7102" w:rsidRPr="00C21F0F" w:rsidRDefault="004B7102" w:rsidP="004B7102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3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4B7102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két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4B7102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1055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4B7102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13. (század)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4B7102" w:rsidRPr="00C21F0F" w:rsidRDefault="004B7102" w:rsidP="004B7102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4B7102" w:rsidRPr="00C21F0F" w:rsidRDefault="004B7102" w:rsidP="004B7102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névmás – 5db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egymásra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amit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valamire</w:t>
            </w:r>
          </w:p>
        </w:tc>
        <w:tc>
          <w:tcPr>
            <w:tcW w:w="2047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azt</w:t>
            </w:r>
          </w:p>
        </w:tc>
        <w:tc>
          <w:tcPr>
            <w:tcW w:w="14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ez</w:t>
            </w: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határozószó – 3db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inkább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gyakran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meztéláb</w:t>
            </w:r>
            <w:proofErr w:type="spellEnd"/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névutó</w:t>
            </w: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 szókapcsolat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– 3db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nyelven keresztül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szótáraink szerint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folyószabályozás előtt</w:t>
            </w: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névelős szókapcsolat </w:t>
            </w: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– 3db</w:t>
            </w:r>
          </w:p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egy nemzet</w:t>
            </w:r>
          </w:p>
        </w:tc>
        <w:tc>
          <w:tcPr>
            <w:tcW w:w="161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a nemzet</w:t>
            </w:r>
          </w:p>
        </w:tc>
        <w:tc>
          <w:tcPr>
            <w:tcW w:w="2122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az</w:t>
            </w: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kötőszók</w:t>
            </w:r>
            <w:proofErr w:type="spellEnd"/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– 3db</w:t>
            </w:r>
          </w:p>
        </w:tc>
        <w:tc>
          <w:tcPr>
            <w:tcW w:w="1823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vagy</w:t>
            </w:r>
          </w:p>
        </w:tc>
        <w:tc>
          <w:tcPr>
            <w:tcW w:w="1616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is</w:t>
            </w:r>
          </w:p>
        </w:tc>
        <w:tc>
          <w:tcPr>
            <w:tcW w:w="2122" w:type="dxa"/>
            <w:shd w:val="clear" w:color="auto" w:fill="auto"/>
          </w:tcPr>
          <w:p w:rsidR="004B7102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mert</w:t>
            </w: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  <w:tr w:rsidR="004B7102" w:rsidRPr="00C21F0F" w:rsidTr="004B7102">
        <w:tc>
          <w:tcPr>
            <w:tcW w:w="1686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1 db - az </w:t>
            </w:r>
            <w:proofErr w:type="spellStart"/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>előzőektől</w:t>
            </w:r>
            <w:proofErr w:type="spellEnd"/>
            <w:r w:rsidRPr="00C21F0F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 eltérő szófaj</w:t>
            </w:r>
          </w:p>
        </w:tc>
        <w:tc>
          <w:tcPr>
            <w:tcW w:w="1823" w:type="dxa"/>
            <w:shd w:val="clear" w:color="auto" w:fill="auto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b/>
                <w:sz w:val="22"/>
                <w:szCs w:val="22"/>
              </w:rPr>
              <w:t>vajon</w:t>
            </w:r>
          </w:p>
        </w:tc>
        <w:tc>
          <w:tcPr>
            <w:tcW w:w="1616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E7E6E6"/>
          </w:tcPr>
          <w:p w:rsidR="004B7102" w:rsidRPr="00C21F0F" w:rsidRDefault="004B7102" w:rsidP="00CB1D8E">
            <w:pPr>
              <w:rPr>
                <w:rFonts w:ascii="Bookman Old Style" w:hAnsi="Bookman Old Style" w:cs="Courier New"/>
                <w:b/>
                <w:sz w:val="22"/>
                <w:szCs w:val="22"/>
              </w:rPr>
            </w:pPr>
          </w:p>
        </w:tc>
      </w:tr>
    </w:tbl>
    <w:p w:rsidR="007B5B13" w:rsidRDefault="00200EEA"/>
    <w:sectPr w:rsidR="007B5B13" w:rsidSect="004B7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02"/>
    <w:rsid w:val="001D5579"/>
    <w:rsid w:val="00200EEA"/>
    <w:rsid w:val="004B7102"/>
    <w:rsid w:val="006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16BA"/>
  <w15:chartTrackingRefBased/>
  <w15:docId w15:val="{ADEC0BA2-4860-4E3E-9756-D73EE989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Bodzásné Bozó Mariann</dc:creator>
  <cp:keywords/>
  <dc:description/>
  <cp:lastModifiedBy>Bodzásné Bozó Mariann</cp:lastModifiedBy>
  <cp:revision>2</cp:revision>
  <dcterms:created xsi:type="dcterms:W3CDTF">2025-05-30T09:33:00Z</dcterms:created>
  <dcterms:modified xsi:type="dcterms:W3CDTF">2025-05-30T09:40:00Z</dcterms:modified>
</cp:coreProperties>
</file>